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F023" w14:textId="77777777" w:rsidR="008950B4" w:rsidRPr="008950B4" w:rsidRDefault="008950B4" w:rsidP="008950B4">
      <w:pPr>
        <w:rPr>
          <w:b/>
          <w:bCs/>
          <w:sz w:val="23"/>
          <w:szCs w:val="22"/>
        </w:rPr>
      </w:pPr>
      <w:r w:rsidRPr="008950B4">
        <w:rPr>
          <w:b/>
          <w:bCs/>
          <w:sz w:val="23"/>
          <w:szCs w:val="22"/>
        </w:rPr>
        <w:t>Checkliste für die Anstellung von Teilzeitmitarbeitenden,</w:t>
      </w:r>
    </w:p>
    <w:p w14:paraId="76DA5CB5" w14:textId="77777777" w:rsidR="008950B4" w:rsidRPr="008950B4" w:rsidRDefault="008950B4" w:rsidP="008950B4">
      <w:r w:rsidRPr="008950B4">
        <w:t>die dem Gesamtarbeitsvertrag Gebäudehüllengewerbe unterstehen</w:t>
      </w:r>
    </w:p>
    <w:p w14:paraId="32237E78" w14:textId="77777777" w:rsidR="008950B4" w:rsidRPr="008950B4" w:rsidRDefault="008950B4" w:rsidP="008950B4">
      <w:r w:rsidRPr="008950B4">
        <w:t>(bei Arbeitszeitreduktion von bisherigen oder Anstellung von neuen Mitarbeitenden)</w:t>
      </w:r>
    </w:p>
    <w:p w14:paraId="16B79F08" w14:textId="77777777" w:rsidR="008950B4" w:rsidRPr="008950B4" w:rsidRDefault="008950B4" w:rsidP="008950B4"/>
    <w:p w14:paraId="1D5CBCCA" w14:textId="77777777" w:rsidR="008950B4" w:rsidRPr="008950B4" w:rsidRDefault="008950B4" w:rsidP="008950B4"/>
    <w:p w14:paraId="09C364C8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>Gespräche</w:t>
      </w:r>
    </w:p>
    <w:p w14:paraId="27FE0681" w14:textId="6C41EB6E" w:rsidR="008950B4" w:rsidRPr="008950B4" w:rsidRDefault="00000000" w:rsidP="008950B4">
      <w:sdt>
        <w:sdtPr>
          <w:id w:val="-1398671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>
            <w:rPr>
              <w:rFonts w:ascii="MS Gothic" w:eastAsia="MS Gothic" w:hAnsi="MS Gothic" w:hint="eastAsia"/>
            </w:rPr>
            <w:t>☐</w:t>
          </w:r>
        </w:sdtContent>
      </w:sdt>
      <w:r w:rsidR="008950B4" w:rsidRPr="008950B4">
        <w:t xml:space="preserve"> Offenes Gespräch führen, um beidseitige Erwartungen zu klären: Zeitliche Einschränkungen (z.B. Kita-Öffnungszeiten), Flexibilität für zusätzliche Einsätze, Informationspflichten und -wege (z.B. Kommunikation bei Arbeitsübergabe).</w:t>
      </w:r>
    </w:p>
    <w:p w14:paraId="574C3F08" w14:textId="77777777" w:rsidR="008950B4" w:rsidRPr="008950B4" w:rsidRDefault="00000000" w:rsidP="008950B4">
      <w:sdt>
        <w:sdtPr>
          <w:id w:val="384310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Termin vereinbaren für erste Zwischenbilanz (bei Neuanstellungen: Probezeitgespräch). </w:t>
      </w:r>
    </w:p>
    <w:p w14:paraId="231AEA47" w14:textId="77777777" w:rsidR="008950B4" w:rsidRDefault="008950B4" w:rsidP="008950B4"/>
    <w:p w14:paraId="79270598" w14:textId="77777777" w:rsidR="008950B4" w:rsidRPr="008950B4" w:rsidRDefault="008950B4" w:rsidP="008950B4"/>
    <w:p w14:paraId="5A9A6D80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 xml:space="preserve">Arbeitsvertrag </w:t>
      </w:r>
    </w:p>
    <w:p w14:paraId="71679AD1" w14:textId="77777777" w:rsidR="008950B4" w:rsidRPr="008950B4" w:rsidRDefault="00000000" w:rsidP="008950B4">
      <w:sdt>
        <w:sdtPr>
          <w:id w:val="-1248265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Beschäftigungsgrad, Arbeitszeit, fixe Arbeitstage und Lohn schriftlich festlegen. Die Anstellung erfolgt grundsätzlich im Monatslohn (Art. 20.1 GAV).</w:t>
      </w:r>
    </w:p>
    <w:p w14:paraId="2EAB4388" w14:textId="6EAF478E" w:rsidR="008950B4" w:rsidRPr="008950B4" w:rsidRDefault="00000000" w:rsidP="008950B4">
      <w:sdt>
        <w:sdtPr>
          <w:id w:val="158572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>
            <w:rPr>
              <w:rFonts w:ascii="MS Gothic" w:eastAsia="MS Gothic" w:hAnsi="MS Gothic" w:hint="eastAsia"/>
            </w:rPr>
            <w:t>☐</w:t>
          </w:r>
        </w:sdtContent>
      </w:sdt>
      <w:r w:rsidR="008950B4" w:rsidRPr="008950B4">
        <w:t xml:space="preserve"> Modell zur Erfassung der Absenzen festhalten</w:t>
      </w:r>
      <w:r w:rsidR="008950B4">
        <w:t>.</w:t>
      </w:r>
      <w:r w:rsidR="008950B4" w:rsidRPr="008950B4">
        <w:t xml:space="preserve"> </w:t>
      </w:r>
    </w:p>
    <w:p w14:paraId="7B4A78C4" w14:textId="06D9DE59" w:rsidR="008950B4" w:rsidRPr="008950B4" w:rsidRDefault="008950B4" w:rsidP="008950B4">
      <w:r w:rsidRPr="006560B7">
        <w:rPr>
          <w:rFonts w:ascii="Cadiz Book" w:hAnsi="Cadiz Book"/>
        </w:rPr>
        <w:t>→</w:t>
      </w:r>
      <w:r w:rsidRPr="006560B7">
        <w:t xml:space="preserve"> </w:t>
      </w:r>
      <w:hyperlink r:id="rId5" w:anchor="absenzen" w:history="1">
        <w:r w:rsidRPr="006560B7">
          <w:rPr>
            <w:rStyle w:val="Hyperlink"/>
          </w:rPr>
          <w:t>Leitfaden Erfassen von Absenzen</w:t>
        </w:r>
      </w:hyperlink>
      <w:r w:rsidRPr="008950B4">
        <w:t xml:space="preserve"> </w:t>
      </w:r>
    </w:p>
    <w:p w14:paraId="7307F887" w14:textId="7398EB5D" w:rsidR="008950B4" w:rsidRPr="008950B4" w:rsidRDefault="00000000" w:rsidP="008950B4">
      <w:sdt>
        <w:sdtPr>
          <w:id w:val="-295532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Spesenvergütung bei auswärtiger Arbeit CHF 20 pro Mittagessen oder Monatspauschale vereinbaren: CHF 330 </w:t>
      </w:r>
      <w:r w:rsidR="006560B7" w:rsidRPr="006560B7">
        <w:t>×</w:t>
      </w:r>
      <w:r w:rsidR="008950B4" w:rsidRPr="008950B4">
        <w:t xml:space="preserve"> Beschäftigungsgrad (Beispiel: 80% </w:t>
      </w:r>
      <w:r w:rsidR="006560B7" w:rsidRPr="006560B7">
        <w:t>×</w:t>
      </w:r>
      <w:r w:rsidR="008950B4" w:rsidRPr="008950B4">
        <w:t xml:space="preserve"> 330 CHF = 264 CHF).</w:t>
      </w:r>
    </w:p>
    <w:p w14:paraId="13D640AB" w14:textId="77777777" w:rsidR="008950B4" w:rsidRDefault="008950B4" w:rsidP="008950B4"/>
    <w:p w14:paraId="6E004FBD" w14:textId="77777777" w:rsidR="008950B4" w:rsidRPr="008950B4" w:rsidRDefault="008950B4" w:rsidP="008950B4"/>
    <w:p w14:paraId="1D7B89B5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>Berufliche Vorsorge (BVG)</w:t>
      </w:r>
    </w:p>
    <w:p w14:paraId="275EB754" w14:textId="707411B7" w:rsidR="008950B4" w:rsidRPr="008950B4" w:rsidRDefault="008950B4" w:rsidP="008950B4">
      <w:r w:rsidRPr="00AE4D4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BC97840" wp14:editId="6CF23EAF">
                <wp:simplePos x="0" y="0"/>
                <wp:positionH relativeFrom="page">
                  <wp:posOffset>4731385</wp:posOffset>
                </wp:positionH>
                <wp:positionV relativeFrom="page">
                  <wp:posOffset>20955</wp:posOffset>
                </wp:positionV>
                <wp:extent cx="2818130" cy="499110"/>
                <wp:effectExtent l="0" t="0" r="1270" b="15240"/>
                <wp:wrapNone/>
                <wp:docPr id="194703592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AE95DD" w14:textId="77777777" w:rsidR="008950B4" w:rsidRPr="008950B4" w:rsidRDefault="008950B4" w:rsidP="008950B4">
                            <w:pPr>
                              <w:rPr>
                                <w:sz w:val="17"/>
                                <w:szCs w:val="18"/>
                              </w:rPr>
                            </w:pPr>
                            <w:r w:rsidRPr="008950B4">
                              <w:rPr>
                                <w:sz w:val="17"/>
                                <w:szCs w:val="18"/>
                              </w:rPr>
                              <w:t>Stand: 2026</w:t>
                            </w:r>
                          </w:p>
                          <w:p w14:paraId="3AB1A8EE" w14:textId="6A38BC52" w:rsidR="008950B4" w:rsidRPr="008950B4" w:rsidRDefault="008950B4" w:rsidP="008950B4">
                            <w:pPr>
                              <w:rPr>
                                <w:sz w:val="17"/>
                                <w:szCs w:val="18"/>
                              </w:rPr>
                            </w:pPr>
                            <w:r w:rsidRPr="008950B4">
                              <w:rPr>
                                <w:sz w:val="17"/>
                                <w:szCs w:val="18"/>
                              </w:rPr>
                              <w:t>Basis: GAV Gebäudehüllengewerbe 2024-2027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97840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372.55pt;margin-top:1.65pt;width:221.9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" filled="f" stroked="f" strokeweight=".5pt">
                <v:textbox inset="0,0,0,0">
                  <w:txbxContent>
                    <w:p w14:paraId="1FAE95DD" w14:textId="77777777" w:rsidR="008950B4" w:rsidRPr="008950B4" w:rsidRDefault="008950B4" w:rsidP="008950B4">
                      <w:pPr>
                        <w:rPr>
                          <w:sz w:val="17"/>
                          <w:szCs w:val="18"/>
                        </w:rPr>
                      </w:pPr>
                      <w:r w:rsidRPr="008950B4">
                        <w:rPr>
                          <w:sz w:val="17"/>
                          <w:szCs w:val="18"/>
                        </w:rPr>
                        <w:t>Stand: 2026</w:t>
                      </w:r>
                    </w:p>
                    <w:p w14:paraId="3AB1A8EE" w14:textId="6A38BC52" w:rsidR="008950B4" w:rsidRPr="008950B4" w:rsidRDefault="008950B4" w:rsidP="008950B4">
                      <w:pPr>
                        <w:rPr>
                          <w:sz w:val="17"/>
                          <w:szCs w:val="18"/>
                        </w:rPr>
                      </w:pPr>
                      <w:r w:rsidRPr="008950B4">
                        <w:rPr>
                          <w:sz w:val="17"/>
                          <w:szCs w:val="18"/>
                        </w:rPr>
                        <w:t xml:space="preserve">Basis: </w:t>
                      </w:r>
                      <w:proofErr w:type="gramStart"/>
                      <w:r w:rsidRPr="008950B4">
                        <w:rPr>
                          <w:sz w:val="17"/>
                          <w:szCs w:val="18"/>
                        </w:rPr>
                        <w:t>GAV Gebäudehüllengewerbe</w:t>
                      </w:r>
                      <w:proofErr w:type="gramEnd"/>
                      <w:r w:rsidRPr="008950B4">
                        <w:rPr>
                          <w:sz w:val="17"/>
                          <w:szCs w:val="18"/>
                        </w:rPr>
                        <w:t xml:space="preserve"> 2024-2027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sdt>
        <w:sdtPr>
          <w:id w:val="101616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4A">
            <w:rPr>
              <w:rFonts w:ascii="MS Gothic" w:eastAsia="MS Gothic" w:hAnsi="MS Gothic" w:hint="eastAsia"/>
            </w:rPr>
            <w:t>☐</w:t>
          </w:r>
        </w:sdtContent>
      </w:sdt>
      <w:r w:rsidRPr="008950B4">
        <w:t xml:space="preserve"> Lohn melden und monatlichen Betrag berechnen lassen</w:t>
      </w:r>
      <w:r>
        <w:t>.</w:t>
      </w:r>
    </w:p>
    <w:p w14:paraId="77ABCB6F" w14:textId="6807B170" w:rsidR="008950B4" w:rsidRPr="008950B4" w:rsidRDefault="00000000" w:rsidP="008950B4">
      <w:sdt>
        <w:sdtPr>
          <w:id w:val="-828910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474A">
            <w:rPr>
              <w:rFonts w:ascii="MS Gothic" w:eastAsia="MS Gothic" w:hAnsi="MS Gothic" w:hint="eastAsia"/>
            </w:rPr>
            <w:t>☐</w:t>
          </w:r>
        </w:sdtContent>
      </w:sdt>
      <w:r w:rsidR="008950B4" w:rsidRPr="008950B4">
        <w:t xml:space="preserve"> Vorsorgeplan überprüfen betreffend Versicherung der Teilzeitbeschäftigten: Wird der Koordinationsabzug dem Beschäftigungsgrad angepasst? Werden auch Teilzeitbeschäftigte unter der Eintrittsschwelle versichert?</w:t>
      </w:r>
    </w:p>
    <w:p w14:paraId="14A84AD4" w14:textId="1D0008CA" w:rsidR="008950B4" w:rsidRPr="008950B4" w:rsidRDefault="00000000" w:rsidP="008950B4">
      <w:sdt>
        <w:sdtPr>
          <w:id w:val="1284308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Wenn nicht: Vorsorgeplan auf nächstmöglichen Termin anpassen. Bei der Spida Personalvorsorgestiftung sind solche Plananpassungen für die Zukunft jederzeit möglich, sofern sowohl der/die Arbeitgebende wie auch die Arbeitnehmenden damit einverstanden sind.</w:t>
      </w:r>
    </w:p>
    <w:p w14:paraId="174B50E7" w14:textId="5D0E5F09" w:rsidR="008950B4" w:rsidRPr="008950B4" w:rsidRDefault="008950B4" w:rsidP="008950B4">
      <w:r w:rsidRPr="006560B7">
        <w:rPr>
          <w:rFonts w:ascii="Cadiz Book" w:hAnsi="Cadiz Book"/>
        </w:rPr>
        <w:t>→</w:t>
      </w:r>
      <w:r w:rsidRPr="006560B7">
        <w:t xml:space="preserve"> </w:t>
      </w:r>
      <w:hyperlink r:id="rId6" w:anchor="bvg" w:history="1">
        <w:r w:rsidRPr="006560B7">
          <w:rPr>
            <w:rStyle w:val="Hyperlink"/>
          </w:rPr>
          <w:t>Leitfaden Teilzeitarbeit und Berufliche Vorsorge</w:t>
        </w:r>
      </w:hyperlink>
    </w:p>
    <w:p w14:paraId="4CC638DC" w14:textId="77777777" w:rsidR="0096485F" w:rsidRDefault="0096485F" w:rsidP="008950B4"/>
    <w:p w14:paraId="026BAF08" w14:textId="77777777" w:rsidR="008950B4" w:rsidRPr="008950B4" w:rsidRDefault="008950B4" w:rsidP="008950B4"/>
    <w:p w14:paraId="7EDACA32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>Vollzugskosten-, Aus- und Weiterbildungsbeiträge</w:t>
      </w:r>
    </w:p>
    <w:p w14:paraId="2A8BCD7C" w14:textId="77777777" w:rsidR="008950B4" w:rsidRPr="008950B4" w:rsidRDefault="008950B4" w:rsidP="008950B4">
      <w:r w:rsidRPr="008950B4">
        <w:t>Neue Praxis ab 1. Januar 2026</w:t>
      </w:r>
    </w:p>
    <w:p w14:paraId="5056E87C" w14:textId="77777777" w:rsidR="008950B4" w:rsidRPr="008950B4" w:rsidRDefault="00000000" w:rsidP="008950B4">
      <w:sdt>
        <w:sdtPr>
          <w:id w:val="-170747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Die Beiträge sind für Arbeitnehmende mit einem Beschäftigungsgrad ab 20% geschuldet. </w:t>
      </w:r>
    </w:p>
    <w:p w14:paraId="3121C01A" w14:textId="76E568BB" w:rsidR="008950B4" w:rsidRPr="008950B4" w:rsidRDefault="00000000" w:rsidP="008950B4">
      <w:sdt>
        <w:sdtPr>
          <w:id w:val="857706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Teilzeitbeschäftigte zahlen einen anteilsmässigen Beitrag. Berechnung: Beschäftigungsgrad </w:t>
      </w:r>
      <w:r w:rsidR="006560B7" w:rsidRPr="006560B7">
        <w:t>×</w:t>
      </w:r>
      <w:r w:rsidR="008950B4" w:rsidRPr="008950B4">
        <w:t xml:space="preserve"> 25 CHF pro Monat. (Beispiel: 80% </w:t>
      </w:r>
      <w:r w:rsidR="006560B7" w:rsidRPr="006560B7">
        <w:t>×</w:t>
      </w:r>
      <w:r w:rsidR="008950B4" w:rsidRPr="008950B4">
        <w:t xml:space="preserve"> 25 CHF = 20 CHF / Monat.) </w:t>
      </w:r>
    </w:p>
    <w:p w14:paraId="77FFCB48" w14:textId="622337EA" w:rsidR="008950B4" w:rsidRDefault="006560B7" w:rsidP="008950B4">
      <w:r w:rsidRPr="006560B7">
        <w:rPr>
          <w:rFonts w:ascii="Cadiz Book" w:hAnsi="Cadiz Book"/>
        </w:rPr>
        <w:t>→</w:t>
      </w:r>
      <w:r>
        <w:rPr>
          <w:rFonts w:ascii="Cadiz Book" w:hAnsi="Cadiz Book"/>
        </w:rPr>
        <w:t xml:space="preserve"> </w:t>
      </w:r>
      <w:hyperlink r:id="rId7" w:history="1">
        <w:r w:rsidR="008950B4" w:rsidRPr="008950B4">
          <w:rPr>
            <w:rStyle w:val="Hyperlink"/>
          </w:rPr>
          <w:t>Merkblatt Paritätische Landeskommission (PLK)</w:t>
        </w:r>
      </w:hyperlink>
      <w:r w:rsidR="008950B4" w:rsidRPr="008950B4">
        <w:t xml:space="preserve"> </w:t>
      </w:r>
    </w:p>
    <w:p w14:paraId="7842AF04" w14:textId="77777777" w:rsidR="008950B4" w:rsidRDefault="008950B4" w:rsidP="008950B4"/>
    <w:p w14:paraId="2AB46DB7" w14:textId="77777777" w:rsidR="008950B4" w:rsidRPr="008950B4" w:rsidRDefault="008950B4" w:rsidP="008950B4"/>
    <w:p w14:paraId="5D1ABB79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>Sozialversicherungen: Lohnabzüge für Arbeitnehmende</w:t>
      </w:r>
    </w:p>
    <w:p w14:paraId="65970266" w14:textId="501FCAAE" w:rsidR="008950B4" w:rsidRPr="008950B4" w:rsidRDefault="00000000" w:rsidP="008950B4">
      <w:sdt>
        <w:sdtPr>
          <w:id w:val="-14250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>
            <w:rPr>
              <w:rFonts w:ascii="MS Gothic" w:eastAsia="MS Gothic" w:hAnsi="MS Gothic" w:hint="eastAsia"/>
            </w:rPr>
            <w:t>☐</w:t>
          </w:r>
        </w:sdtContent>
      </w:sdt>
      <w:r w:rsidR="008950B4" w:rsidRPr="008950B4">
        <w:t xml:space="preserve"> Mitarbeitende bei der Pensionskasse melden und monatlichen Betrag abziehen.</w:t>
      </w:r>
    </w:p>
    <w:p w14:paraId="6D43DD0B" w14:textId="77777777" w:rsidR="008950B4" w:rsidRPr="008950B4" w:rsidRDefault="00000000" w:rsidP="008950B4">
      <w:sdt>
        <w:sdtPr>
          <w:id w:val="-1276325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AHV/IV/EO/ALV: Prozentuale Beiträge (abhängig vom Bruttolohn).</w:t>
      </w:r>
    </w:p>
    <w:p w14:paraId="5F83CE9A" w14:textId="77777777" w:rsidR="008950B4" w:rsidRPr="008950B4" w:rsidRDefault="00000000" w:rsidP="008950B4">
      <w:sdt>
        <w:sdtPr>
          <w:id w:val="-1418865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Krankentaggeldversicherung: Prozentuale Beiträge. </w:t>
      </w:r>
    </w:p>
    <w:p w14:paraId="5E99E174" w14:textId="24D99CF2" w:rsidR="008950B4" w:rsidRPr="008950B4" w:rsidRDefault="00000000" w:rsidP="008950B4">
      <w:sdt>
        <w:sdtPr>
          <w:id w:val="-188837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Nichtberufsunfallversicherung: Ist ab einer Arbeitszeit von mindestens 8 Stunden pro Woche obligatorisch. Prämien gehen zulasten der Arbeitnehmenden (prozentuale Beiträge). Beträgt die Arbeitszeit weniger als 8 Stunden pro Woche, Arbeitnehmende darauf hinweisen, sich selbst entsprechend zu versichern (z.B. über eigene Krankenkasse).</w:t>
      </w:r>
    </w:p>
    <w:p w14:paraId="506B147A" w14:textId="77777777" w:rsidR="008950B4" w:rsidRPr="008950B4" w:rsidRDefault="00000000" w:rsidP="008950B4">
      <w:sdt>
        <w:sdtPr>
          <w:id w:val="-627320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Vorruhestandsmodell (VRM): Prozentuale Beiträge.</w:t>
      </w:r>
    </w:p>
    <w:p w14:paraId="36FD7765" w14:textId="77777777" w:rsidR="008950B4" w:rsidRDefault="008950B4" w:rsidP="008950B4"/>
    <w:p w14:paraId="00FC4D14" w14:textId="77777777" w:rsidR="008950B4" w:rsidRPr="008950B4" w:rsidRDefault="008950B4" w:rsidP="008950B4"/>
    <w:p w14:paraId="34DA26D3" w14:textId="77777777" w:rsidR="008950B4" w:rsidRPr="008950B4" w:rsidRDefault="008950B4" w:rsidP="008950B4">
      <w:pPr>
        <w:rPr>
          <w:b/>
          <w:bCs/>
        </w:rPr>
      </w:pPr>
      <w:r w:rsidRPr="008950B4">
        <w:rPr>
          <w:b/>
          <w:bCs/>
        </w:rPr>
        <w:t>Familienzulagen</w:t>
      </w:r>
    </w:p>
    <w:p w14:paraId="30102AEB" w14:textId="77777777" w:rsidR="008950B4" w:rsidRPr="008950B4" w:rsidRDefault="008950B4" w:rsidP="008950B4">
      <w:r w:rsidRPr="008950B4">
        <w:t xml:space="preserve">Die Anmeldung oder eine Änderungsmeldung für den Bezug von Familienzulagen liegt grundsätzlich in der Verantwortung der Arbeitnehmenden. </w:t>
      </w:r>
    </w:p>
    <w:p w14:paraId="774B5109" w14:textId="4F23A0B8" w:rsidR="008950B4" w:rsidRPr="008950B4" w:rsidRDefault="00000000" w:rsidP="008950B4">
      <w:sdt>
        <w:sdtPr>
          <w:id w:val="-1299446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>
            <w:rPr>
              <w:rFonts w:ascii="MS Gothic" w:eastAsia="MS Gothic" w:hAnsi="MS Gothic" w:hint="eastAsia"/>
            </w:rPr>
            <w:t>☐</w:t>
          </w:r>
        </w:sdtContent>
      </w:sdt>
      <w:r w:rsidR="008950B4" w:rsidRPr="008950B4">
        <w:t xml:space="preserve"> Arbeitnehmende mit Familienzulagen darauf hinweisen, dass sich durch Teilzeitbeschäftigung Änderungen im Anspruch ergeben können (z.B. werden Familienzulagen an den Elternteil mit dem höheren Einkommen ausbezahlt). </w:t>
      </w:r>
    </w:p>
    <w:p w14:paraId="1F70B40B" w14:textId="77777777" w:rsidR="008950B4" w:rsidRPr="008950B4" w:rsidRDefault="00000000" w:rsidP="008950B4">
      <w:sdt>
        <w:sdtPr>
          <w:id w:val="194526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0B4" w:rsidRPr="008950B4">
            <w:rPr>
              <w:rFonts w:ascii="Segoe UI Symbol" w:hAnsi="Segoe UI Symbol" w:cs="Segoe UI Symbol"/>
            </w:rPr>
            <w:t>☐</w:t>
          </w:r>
        </w:sdtContent>
      </w:sdt>
      <w:r w:rsidR="008950B4" w:rsidRPr="008950B4">
        <w:t xml:space="preserve"> Formulare der Ausgleichskasse an Arbeitnehmende aushändigen.</w:t>
      </w:r>
    </w:p>
    <w:p w14:paraId="45EAD5D9" w14:textId="77777777" w:rsidR="008950B4" w:rsidRPr="008950B4" w:rsidRDefault="008950B4" w:rsidP="008950B4"/>
    <w:sectPr w:rsidR="008950B4" w:rsidRPr="008950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diz Book">
    <w:altName w:val="Calibri"/>
    <w:panose1 w:val="00000000000000000000"/>
    <w:charset w:val="00"/>
    <w:family w:val="auto"/>
    <w:pitch w:val="variable"/>
    <w:sig w:usb0="A00000AF" w:usb1="4000A0F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215"/>
    <w:multiLevelType w:val="multilevel"/>
    <w:tmpl w:val="642A1308"/>
    <w:styleLink w:val="AufzhlungenListe"/>
    <w:lvl w:ilvl="0">
      <w:start w:val="1"/>
      <w:numFmt w:val="bullet"/>
      <w:pStyle w:val="Aufzhlung1"/>
      <w:lvlText w:val="–"/>
      <w:lvlJc w:val="left"/>
      <w:pPr>
        <w:ind w:left="284" w:hanging="284"/>
      </w:pPr>
      <w:rPr>
        <w:rFonts w:ascii="Cadiz Book" w:hAnsi="Cadiz Book" w:hint="default"/>
        <w:color w:val="156082" w:themeColor="accent1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Cadiz Book" w:hAnsi="Cadiz Book" w:hint="default"/>
        <w:color w:val="156082" w:themeColor="accent1"/>
      </w:rPr>
    </w:lvl>
    <w:lvl w:ilvl="2">
      <w:start w:val="1"/>
      <w:numFmt w:val="bullet"/>
      <w:pStyle w:val="Aufzhlung3"/>
      <w:lvlText w:val="–"/>
      <w:lvlJc w:val="left"/>
      <w:pPr>
        <w:ind w:left="851" w:hanging="284"/>
      </w:pPr>
      <w:rPr>
        <w:rFonts w:ascii="Cadiz Book" w:hAnsi="Cadiz Book" w:hint="default"/>
        <w:color w:val="156082" w:themeColor="accent1"/>
      </w:rPr>
    </w:lvl>
    <w:lvl w:ilvl="3">
      <w:start w:val="1"/>
      <w:numFmt w:val="bullet"/>
      <w:pStyle w:val="AufzhlungPfeil"/>
      <w:lvlText w:val="→"/>
      <w:lvlJc w:val="left"/>
      <w:pPr>
        <w:ind w:left="284" w:hanging="284"/>
      </w:pPr>
      <w:rPr>
        <w:rFonts w:ascii="Cadiz Book" w:hAnsi="Cadiz Book" w:hint="default"/>
        <w:color w:val="156082" w:themeColor="accent1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445465B"/>
    <w:multiLevelType w:val="multilevel"/>
    <w:tmpl w:val="642A1308"/>
    <w:numStyleLink w:val="AufzhlungenListe"/>
  </w:abstractNum>
  <w:num w:numId="1" w16cid:durableId="1074162686">
    <w:abstractNumId w:val="0"/>
  </w:num>
  <w:num w:numId="2" w16cid:durableId="115842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B7"/>
    <w:rsid w:val="001314EE"/>
    <w:rsid w:val="001F6E0F"/>
    <w:rsid w:val="00230FE5"/>
    <w:rsid w:val="0061235A"/>
    <w:rsid w:val="006560B7"/>
    <w:rsid w:val="007F30B7"/>
    <w:rsid w:val="008950B4"/>
    <w:rsid w:val="008C230A"/>
    <w:rsid w:val="0096485F"/>
    <w:rsid w:val="00E5474A"/>
    <w:rsid w:val="00F5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AE812"/>
  <w15:chartTrackingRefBased/>
  <w15:docId w15:val="{6C593145-7D7F-43C3-B805-026131F9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50B4"/>
    <w:pPr>
      <w:spacing w:after="0" w:line="204" w:lineRule="auto"/>
    </w:pPr>
    <w:rPr>
      <w:kern w:val="0"/>
      <w:sz w:val="21"/>
      <w:szCs w:val="21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30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30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30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30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30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30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30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30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30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30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30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30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30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30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30B7"/>
    <w:rPr>
      <w:b/>
      <w:bCs/>
      <w:smallCaps/>
      <w:color w:val="0F4761" w:themeColor="accent1" w:themeShade="BF"/>
      <w:spacing w:val="5"/>
    </w:rPr>
  </w:style>
  <w:style w:type="paragraph" w:customStyle="1" w:styleId="Aufzhlung1">
    <w:name w:val="Aufzählung 1"/>
    <w:basedOn w:val="Listenabsatz"/>
    <w:uiPriority w:val="6"/>
    <w:qFormat/>
    <w:rsid w:val="008950B4"/>
    <w:pPr>
      <w:numPr>
        <w:numId w:val="2"/>
      </w:numPr>
    </w:pPr>
  </w:style>
  <w:style w:type="paragraph" w:customStyle="1" w:styleId="Aufzhlung2">
    <w:name w:val="Aufzählung 2"/>
    <w:basedOn w:val="Aufzhlung1"/>
    <w:uiPriority w:val="6"/>
    <w:qFormat/>
    <w:rsid w:val="008950B4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8950B4"/>
    <w:pPr>
      <w:numPr>
        <w:ilvl w:val="2"/>
      </w:numPr>
    </w:pPr>
  </w:style>
  <w:style w:type="numbering" w:customStyle="1" w:styleId="AufzhlungenListe">
    <w:name w:val="Aufzählungen (Liste)"/>
    <w:uiPriority w:val="99"/>
    <w:rsid w:val="008950B4"/>
    <w:pPr>
      <w:numPr>
        <w:numId w:val="1"/>
      </w:numPr>
    </w:pPr>
  </w:style>
  <w:style w:type="paragraph" w:customStyle="1" w:styleId="AufzhlungPfeil">
    <w:name w:val="Aufzählung Pfeil"/>
    <w:basedOn w:val="Standard"/>
    <w:uiPriority w:val="6"/>
    <w:qFormat/>
    <w:rsid w:val="008950B4"/>
    <w:pPr>
      <w:numPr>
        <w:ilvl w:val="3"/>
        <w:numId w:val="2"/>
      </w:numPr>
    </w:pPr>
  </w:style>
  <w:style w:type="character" w:styleId="Fett">
    <w:name w:val="Strong"/>
    <w:basedOn w:val="Absatz-Standardschriftart"/>
    <w:uiPriority w:val="1"/>
    <w:qFormat/>
    <w:rsid w:val="008950B4"/>
    <w:rPr>
      <w:rFonts w:asciiTheme="majorHAnsi" w:hAnsiTheme="majorHAnsi"/>
      <w:b/>
      <w:bCs/>
    </w:rPr>
  </w:style>
  <w:style w:type="character" w:styleId="Hyperlink">
    <w:name w:val="Hyperlink"/>
    <w:basedOn w:val="Absatz-Standardschriftart"/>
    <w:uiPriority w:val="99"/>
    <w:semiHidden/>
    <w:rsid w:val="008950B4"/>
    <w:rPr>
      <w:color w:val="auto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k-gebaeudehuelle.ch/files/Merkbl%C3%A4tter/Merkblatt_Beitragsabrechnung_2026_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ilzeitbau-geb&#228;udeh&#252;lle.ch/werkzeuge" TargetMode="External"/><Relationship Id="rId5" Type="http://schemas.openxmlformats.org/officeDocument/2006/relationships/hyperlink" Target="https://www.teilzeitbau-geb&#228;udeh&#252;lle.ch/werkzeu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2851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2026-06-17T07:05:00Z</dcterms:created>
  <dcterms:modified xsi:type="dcterms:W3CDTF">2026-06-17T07:08:00Z</dcterms:modified>
</cp:coreProperties>
</file>